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7268C">
      <w:pPr>
        <w:spacing w:line="680" w:lineRule="exact"/>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遂宁市民康医院</w:t>
      </w:r>
    </w:p>
    <w:p w14:paraId="537F4439">
      <w:pPr>
        <w:spacing w:line="680" w:lineRule="exact"/>
        <w:jc w:val="center"/>
        <w:rPr>
          <w:rFonts w:hint="eastAsia" w:ascii="方正小标宋简体" w:hAnsi="方正小标宋简体" w:eastAsia="方正小标宋简体" w:cs="方正小标宋简体"/>
          <w:color w:val="auto"/>
          <w:sz w:val="44"/>
          <w:szCs w:val="52"/>
          <w:lang w:eastAsia="zh-CN"/>
        </w:rPr>
      </w:pPr>
      <w:r>
        <w:rPr>
          <w:rFonts w:hint="eastAsia" w:ascii="方正小标宋简体" w:hAnsi="方正小标宋简体" w:eastAsia="方正小标宋简体" w:cs="方正小标宋简体"/>
          <w:sz w:val="44"/>
          <w:szCs w:val="52"/>
        </w:rPr>
        <w:t>关于</w:t>
      </w:r>
      <w:r>
        <w:rPr>
          <w:rFonts w:hint="eastAsia" w:ascii="方正小标宋简体" w:hAnsi="方正小标宋简体" w:eastAsia="方正小标宋简体" w:cs="方正小标宋简体"/>
          <w:color w:val="auto"/>
          <w:sz w:val="44"/>
          <w:szCs w:val="52"/>
          <w:lang w:eastAsia="zh-CN"/>
        </w:rPr>
        <w:t>院区水环境淤泥治理项目（</w:t>
      </w:r>
      <w:r>
        <w:rPr>
          <w:rFonts w:hint="eastAsia" w:ascii="方正小标宋简体" w:hAnsi="方正小标宋简体" w:eastAsia="方正小标宋简体" w:cs="方正小标宋简体"/>
          <w:color w:val="auto"/>
          <w:sz w:val="44"/>
          <w:szCs w:val="52"/>
          <w:lang w:val="en-US" w:eastAsia="zh-CN"/>
        </w:rPr>
        <w:t>三</w:t>
      </w:r>
      <w:r>
        <w:rPr>
          <w:rFonts w:hint="eastAsia" w:ascii="方正小标宋简体" w:hAnsi="方正小标宋简体" w:eastAsia="方正小标宋简体" w:cs="方正小标宋简体"/>
          <w:color w:val="auto"/>
          <w:sz w:val="44"/>
          <w:szCs w:val="52"/>
          <w:lang w:eastAsia="zh-CN"/>
        </w:rPr>
        <w:t>次）</w:t>
      </w:r>
    </w:p>
    <w:p w14:paraId="2610C2AC">
      <w:pPr>
        <w:spacing w:line="680" w:lineRule="exact"/>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执行方案</w:t>
      </w:r>
    </w:p>
    <w:p w14:paraId="42B9B940">
      <w:pPr>
        <w:rPr>
          <w:color w:val="auto"/>
          <w:sz w:val="32"/>
          <w:szCs w:val="40"/>
        </w:rPr>
      </w:pPr>
    </w:p>
    <w:p w14:paraId="6158B27F">
      <w:pPr>
        <w:spacing w:line="576" w:lineRule="exact"/>
        <w:ind w:firstLine="640" w:firstLineChars="200"/>
        <w:rPr>
          <w:rFonts w:hint="eastAsia" w:ascii="黑体" w:hAnsi="黑体" w:eastAsia="黑体" w:cs="黑体"/>
          <w:color w:val="auto"/>
          <w:sz w:val="32"/>
          <w:szCs w:val="40"/>
          <w:lang w:val="en-US" w:eastAsia="zh-CN"/>
        </w:rPr>
      </w:pPr>
      <w:r>
        <w:rPr>
          <w:rFonts w:hint="eastAsia" w:ascii="黑体" w:hAnsi="黑体" w:eastAsia="黑体" w:cs="黑体"/>
          <w:color w:val="auto"/>
          <w:sz w:val="32"/>
          <w:szCs w:val="40"/>
        </w:rPr>
        <w:t>一、总则</w:t>
      </w:r>
      <w:r>
        <w:rPr>
          <w:rFonts w:hint="eastAsia" w:ascii="黑体" w:hAnsi="黑体" w:eastAsia="黑体" w:cs="黑体"/>
          <w:color w:val="auto"/>
          <w:sz w:val="32"/>
          <w:szCs w:val="40"/>
          <w:lang w:val="en-US" w:eastAsia="zh-CN"/>
        </w:rPr>
        <w:t xml:space="preserve"> </w:t>
      </w:r>
      <w:bookmarkStart w:id="0" w:name="_GoBack"/>
      <w:bookmarkEnd w:id="0"/>
    </w:p>
    <w:p w14:paraId="4D6F55B5">
      <w:pPr>
        <w:spacing w:line="576" w:lineRule="exact"/>
        <w:ind w:firstLine="640" w:firstLineChars="200"/>
        <w:rPr>
          <w:rFonts w:ascii="楷体" w:hAnsi="楷体" w:eastAsia="楷体" w:cs="楷体"/>
          <w:color w:val="auto"/>
          <w:sz w:val="32"/>
          <w:szCs w:val="40"/>
        </w:rPr>
      </w:pPr>
      <w:r>
        <w:rPr>
          <w:rFonts w:hint="eastAsia" w:ascii="楷体" w:hAnsi="楷体" w:eastAsia="楷体" w:cs="楷体"/>
          <w:color w:val="auto"/>
          <w:sz w:val="32"/>
          <w:szCs w:val="40"/>
        </w:rPr>
        <w:t>（一）项目概况</w:t>
      </w:r>
    </w:p>
    <w:p w14:paraId="5ACC5E42">
      <w:pPr>
        <w:spacing w:line="576" w:lineRule="exact"/>
        <w:ind w:firstLine="640" w:firstLineChars="200"/>
        <w:rPr>
          <w:rFonts w:ascii="方正仿宋简体" w:hAnsi="方正仿宋简体" w:eastAsia="方正仿宋简体" w:cs="方正仿宋简体"/>
          <w:color w:val="auto"/>
          <w:sz w:val="32"/>
          <w:szCs w:val="40"/>
        </w:rPr>
      </w:pPr>
      <w:r>
        <w:rPr>
          <w:rFonts w:hint="eastAsia" w:ascii="方正仿宋简体" w:hAnsi="方正仿宋简体" w:eastAsia="方正仿宋简体" w:cs="方正仿宋简体"/>
          <w:color w:val="auto"/>
          <w:sz w:val="32"/>
          <w:szCs w:val="40"/>
        </w:rPr>
        <w:t>为解决医院一、二期污水处理站各管井、管道长期淤积泥沙、污泥、杂物导致的管网排水不畅、设备负荷高、处理效率下降等问题，消除安全及环保隐患，拟通过对外招募第三方专业公司外包实施本次淤泥清掏及管网疏通作业</w:t>
      </w:r>
      <w:r>
        <w:rPr>
          <w:rFonts w:hint="eastAsia" w:ascii="方正仿宋简体" w:hAnsi="方正仿宋简体" w:eastAsia="方正仿宋简体" w:cs="方正仿宋简体"/>
          <w:color w:val="auto"/>
          <w:sz w:val="32"/>
          <w:szCs w:val="40"/>
          <w:lang w:eastAsia="zh-CN"/>
        </w:rPr>
        <w:t>，</w:t>
      </w:r>
      <w:r>
        <w:rPr>
          <w:rFonts w:hint="eastAsia" w:ascii="仿宋" w:hAnsi="仿宋" w:eastAsia="仿宋"/>
          <w:color w:val="auto"/>
          <w:sz w:val="32"/>
          <w:szCs w:val="32"/>
          <w:lang w:val="en-US" w:eastAsia="zh-CN"/>
        </w:rPr>
        <w:t>达到院区水环境淤泥治理目的</w:t>
      </w:r>
      <w:r>
        <w:rPr>
          <w:rFonts w:hint="eastAsia" w:ascii="方正仿宋简体" w:hAnsi="方正仿宋简体" w:eastAsia="方正仿宋简体" w:cs="方正仿宋简体"/>
          <w:color w:val="auto"/>
          <w:sz w:val="32"/>
          <w:szCs w:val="40"/>
        </w:rPr>
        <w:t>。</w:t>
      </w:r>
    </w:p>
    <w:p w14:paraId="6D5BF90C">
      <w:pPr>
        <w:spacing w:line="576" w:lineRule="exact"/>
        <w:ind w:firstLine="640" w:firstLineChars="200"/>
        <w:rPr>
          <w:rFonts w:hint="eastAsia"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作业范围：院内一、二期污水处理站化粪池、调节池管井、连通管道、检查井、放空井等全部配套管井的淤泥、沉积物、堵塞杂物清掏与疏通。</w:t>
      </w:r>
    </w:p>
    <w:p w14:paraId="720856A0">
      <w:pPr>
        <w:spacing w:line="576" w:lineRule="exact"/>
        <w:ind w:firstLine="640" w:firstLineChars="200"/>
        <w:rPr>
          <w:rFonts w:hint="eastAsia" w:ascii="方正仿宋简体" w:hAnsi="方正仿宋简体" w:eastAsia="方正仿宋简体" w:cs="方正仿宋简体"/>
          <w:sz w:val="32"/>
          <w:szCs w:val="40"/>
          <w:highlight w:val="red"/>
        </w:rPr>
      </w:pPr>
      <w:r>
        <w:rPr>
          <w:rFonts w:hint="eastAsia" w:ascii="方正仿宋简体" w:hAnsi="方正仿宋简体" w:eastAsia="方正仿宋简体" w:cs="方正仿宋简体"/>
          <w:sz w:val="32"/>
          <w:szCs w:val="40"/>
          <w:lang w:val="en-US" w:eastAsia="zh-CN"/>
        </w:rPr>
        <w:t>预算金额</w:t>
      </w:r>
      <w:r>
        <w:rPr>
          <w:rFonts w:hint="eastAsia" w:ascii="方正仿宋简体" w:hAnsi="方正仿宋简体" w:eastAsia="方正仿宋简体" w:cs="方正仿宋简体"/>
          <w:sz w:val="32"/>
          <w:szCs w:val="40"/>
          <w:lang w:eastAsia="zh-CN"/>
        </w:rPr>
        <w:t>：</w:t>
      </w:r>
      <w:r>
        <w:rPr>
          <w:rFonts w:hint="eastAsia" w:ascii="方正仿宋简体" w:hAnsi="方正仿宋简体" w:eastAsia="方正仿宋简体" w:cs="方正仿宋简体"/>
          <w:sz w:val="32"/>
          <w:szCs w:val="40"/>
        </w:rPr>
        <w:t>本项目为全包干限价采购模式，报价包含但不限于现场勘察、设备进场、人工清掏、机械疏通、淤泥抽吸、淤泥脱水固化、杂物清理、密闭运输、合规无害化处置、现场清洗消杀、安全防护、应急处置、资料归档、税费、管理费等全部费用，无任何隐形增项费用。项目综合单价最高限价</w:t>
      </w:r>
      <w:r>
        <w:rPr>
          <w:rFonts w:hint="eastAsia" w:ascii="方正仿宋简体" w:hAnsi="方正仿宋简体" w:eastAsia="方正仿宋简体" w:cs="方正仿宋简体"/>
          <w:color w:val="auto"/>
          <w:sz w:val="32"/>
          <w:szCs w:val="40"/>
        </w:rPr>
        <w:t>：1</w:t>
      </w:r>
      <w:r>
        <w:rPr>
          <w:rFonts w:hint="eastAsia" w:ascii="方正仿宋简体" w:hAnsi="方正仿宋简体" w:eastAsia="方正仿宋简体" w:cs="方正仿宋简体"/>
          <w:color w:val="auto"/>
          <w:sz w:val="32"/>
          <w:szCs w:val="40"/>
          <w:lang w:val="en-US" w:eastAsia="zh-CN"/>
        </w:rPr>
        <w:t>1.96</w:t>
      </w:r>
      <w:r>
        <w:rPr>
          <w:rFonts w:hint="eastAsia" w:ascii="方正仿宋简体" w:hAnsi="方正仿宋简体" w:eastAsia="方正仿宋简体" w:cs="方正仿宋简体"/>
          <w:color w:val="auto"/>
          <w:sz w:val="32"/>
          <w:szCs w:val="40"/>
        </w:rPr>
        <w:t>元</w:t>
      </w:r>
      <w:r>
        <w:rPr>
          <w:rFonts w:hint="eastAsia" w:ascii="方正仿宋简体" w:hAnsi="方正仿宋简体" w:eastAsia="方正仿宋简体" w:cs="方正仿宋简体"/>
          <w:sz w:val="32"/>
          <w:szCs w:val="40"/>
        </w:rPr>
        <w:t>/公斤（所有淤泥清掏、脱水、处置全流程包干）</w:t>
      </w:r>
      <w:r>
        <w:rPr>
          <w:rFonts w:hint="eastAsia" w:ascii="方正仿宋简体" w:hAnsi="方正仿宋简体" w:eastAsia="方正仿宋简体" w:cs="方正仿宋简体"/>
          <w:sz w:val="32"/>
          <w:szCs w:val="40"/>
          <w:highlight w:val="none"/>
        </w:rPr>
        <w:t>。</w:t>
      </w:r>
    </w:p>
    <w:p w14:paraId="71137C2A">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（二）编制依据</w:t>
      </w:r>
    </w:p>
    <w:p w14:paraId="45CEA935">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依据《中华人民共和国水污染防治法》《城镇排水与污水处理条例》《危险废物贮存污染控制标准》《城镇排水管渠与泵站运行维护安全技术规程》《有限空间作业安全规程》及属地环保、住建管理规定、医院管理制度编制。</w:t>
      </w:r>
    </w:p>
    <w:p w14:paraId="0ECE3D23">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（三）权责声明</w:t>
      </w:r>
    </w:p>
    <w:p w14:paraId="125FED6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本项目采用第三方外包全权负责模式：中标外来施工单位为本项目唯一全责主体，全权负责施工组织、人员设备、安全管理、有限空间作业、应急处置、淤泥合规转运处置、手续报备、资料归档、现场文明施工等全部工作。施工期间发生的一切安全事故、人员伤亡、环保超标、违规倾倒、行政处罚、财产损坏、医患投诉及经济赔偿，全部由施工单位独立承担。</w:t>
      </w:r>
    </w:p>
    <w:p w14:paraId="3394FDF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遂宁市民康医院仅负责事前告知、过程监督、完工验收，不承担任何施工、安全、环保及衍生法律与经济责任。施工单位进场即视为完全认可本方案权责条款。</w:t>
      </w:r>
    </w:p>
    <w:p w14:paraId="4055284F">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（四）作业目标</w:t>
      </w:r>
    </w:p>
    <w:p w14:paraId="20F407D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彻底清除管井、管道淤积堵塞，恢复管网设计过流能力，保障污水站稳定运行；对化粪池淤泥进行清掏，通过干湿分离操作将淤泥残渣进行干化、消毒；全程合规处置淤泥固废，零环保违规、零安全事故、零设备损坏。</w:t>
      </w:r>
    </w:p>
    <w:p w14:paraId="29FB3467">
      <w:pPr>
        <w:spacing w:line="576" w:lineRule="exact"/>
        <w:ind w:firstLine="640" w:firstLineChars="200"/>
        <w:rPr>
          <w:rFonts w:hint="eastAsia" w:ascii="黑体" w:hAnsi="黑体" w:eastAsia="黑体" w:cs="黑体"/>
          <w:sz w:val="32"/>
          <w:szCs w:val="40"/>
          <w:lang w:eastAsia="zh-CN"/>
        </w:rPr>
      </w:pPr>
      <w:r>
        <w:rPr>
          <w:rFonts w:hint="eastAsia" w:ascii="黑体" w:hAnsi="黑体" w:eastAsia="黑体" w:cs="黑体"/>
          <w:sz w:val="32"/>
          <w:szCs w:val="40"/>
        </w:rPr>
        <w:t>二、资质要求</w:t>
      </w:r>
      <w:r>
        <w:rPr>
          <w:rFonts w:hint="eastAsia" w:ascii="黑体" w:hAnsi="黑体" w:eastAsia="黑体" w:cs="黑体"/>
          <w:sz w:val="32"/>
          <w:szCs w:val="40"/>
          <w:lang w:eastAsia="zh-CN"/>
        </w:rPr>
        <w:t>（</w:t>
      </w:r>
      <w:r>
        <w:rPr>
          <w:rFonts w:hint="eastAsia" w:ascii="黑体" w:hAnsi="黑体" w:eastAsia="黑体" w:cs="黑体"/>
          <w:sz w:val="32"/>
          <w:szCs w:val="40"/>
          <w:lang w:val="en-US" w:eastAsia="zh-CN"/>
        </w:rPr>
        <w:t>实质性要求</w:t>
      </w:r>
      <w:r>
        <w:rPr>
          <w:rFonts w:hint="eastAsia" w:ascii="黑体" w:hAnsi="黑体" w:eastAsia="黑体" w:cs="黑体"/>
          <w:sz w:val="32"/>
          <w:szCs w:val="40"/>
          <w:lang w:eastAsia="zh-CN"/>
        </w:rPr>
        <w:t>）</w:t>
      </w:r>
    </w:p>
    <w:p w14:paraId="5D224214">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（一）公司资质</w:t>
      </w:r>
    </w:p>
    <w:p w14:paraId="3E605EB6">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1.具备有效独立法人营业执照，经营范围含污水处理及其再生利用等相关内容。</w:t>
      </w:r>
    </w:p>
    <w:p w14:paraId="4D636906">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2.涉及危废污泥处置的，须具备对应危废收集转运资质，或与合规危废处置单位签订有效处置协议。</w:t>
      </w:r>
    </w:p>
    <w:p w14:paraId="6D4F85EB">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4.近三年无环保处罚、无安全生产责任事故、无污泥违规处置记录，具备同类医院污水管网清淤业绩。</w:t>
      </w:r>
    </w:p>
    <w:p w14:paraId="6583A379">
      <w:pPr>
        <w:spacing w:line="576" w:lineRule="exact"/>
        <w:ind w:firstLine="640" w:firstLineChars="200"/>
        <w:rPr>
          <w:rFonts w:ascii="方正仿宋简体" w:hAnsi="方正仿宋简体" w:eastAsia="方正仿宋简体" w:cs="方正仿宋简体"/>
          <w:sz w:val="32"/>
          <w:szCs w:val="40"/>
        </w:rPr>
      </w:pPr>
      <w:r>
        <w:rPr>
          <w:rFonts w:hint="eastAsia" w:ascii="楷体" w:hAnsi="楷体" w:eastAsia="楷体" w:cs="楷体"/>
          <w:sz w:val="32"/>
          <w:szCs w:val="40"/>
        </w:rPr>
        <w:t>（二）人员资质</w:t>
      </w:r>
    </w:p>
    <w:p w14:paraId="4321514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1.项目负责人持有效安全证书，熟悉有限空间及污泥处置规范。</w:t>
      </w:r>
    </w:p>
    <w:p w14:paraId="526D07B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2.井下作业人员、现场监护人员必须持有限空间特种作业证持证上岗。</w:t>
      </w:r>
    </w:p>
    <w:p w14:paraId="5232A5B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3.配备专职驻场安全员，具备有毒有害气体应急处置能力。</w:t>
      </w:r>
    </w:p>
    <w:p w14:paraId="631A09A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4.危废转运人员需持对应运输从业资格证，熟练执行转移联单制度。</w:t>
      </w:r>
    </w:p>
    <w:p w14:paraId="6983C2F6">
      <w:pPr>
        <w:spacing w:line="576" w:lineRule="exact"/>
        <w:ind w:firstLine="640" w:firstLineChars="200"/>
        <w:rPr>
          <w:rFonts w:ascii="方正仿宋简体" w:hAnsi="方正仿宋简体" w:eastAsia="方正仿宋简体" w:cs="方正仿宋简体"/>
          <w:sz w:val="32"/>
          <w:szCs w:val="40"/>
        </w:rPr>
      </w:pPr>
      <w:r>
        <w:rPr>
          <w:rFonts w:hint="eastAsia" w:ascii="楷体" w:hAnsi="楷体" w:eastAsia="楷体" w:cs="楷体"/>
          <w:sz w:val="32"/>
          <w:szCs w:val="40"/>
        </w:rPr>
        <w:t>（三）处置要求</w:t>
      </w:r>
    </w:p>
    <w:p w14:paraId="12D3A34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1.施工单位负责淤泥取样检测、固废分类、台账建立、全过程溯源。</w:t>
      </w:r>
    </w:p>
    <w:p w14:paraId="039C8F4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2.一般固废污泥转运至政府备案污泥处置场所；判定为危险废物的医疗类污泥，由具备对应资质单位无害化处置，严格执行危废转移联单制度。</w:t>
      </w:r>
    </w:p>
    <w:p w14:paraId="2D1C062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3.严禁私自倾倒、填埋、丢弃，违规产生的全部处罚与损失由施工单位承担。</w:t>
      </w:r>
    </w:p>
    <w:p w14:paraId="388C5316">
      <w:pPr>
        <w:spacing w:line="576" w:lineRule="exact"/>
        <w:ind w:firstLine="640" w:firstLineChars="200"/>
        <w:rPr>
          <w:rFonts w:ascii="方正仿宋简体" w:hAnsi="方正仿宋简体" w:eastAsia="方正仿宋简体" w:cs="方正仿宋简体"/>
          <w:sz w:val="32"/>
          <w:szCs w:val="40"/>
        </w:rPr>
      </w:pPr>
      <w:r>
        <w:rPr>
          <w:rFonts w:hint="eastAsia" w:ascii="黑体" w:hAnsi="黑体" w:eastAsia="黑体" w:cs="黑体"/>
          <w:sz w:val="32"/>
          <w:szCs w:val="40"/>
        </w:rPr>
        <w:t>三、作业前期准备</w:t>
      </w:r>
    </w:p>
    <w:p w14:paraId="7C1480A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1.现场勘察与技术交底：施工单位自行完成管网、管井淤积排查，制定作业细则，完成全员三级安全、技术、环保交底并签字存档。</w:t>
      </w:r>
    </w:p>
    <w:p w14:paraId="1F308AC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2.手续办理：自行完成有限空间作业审批、施工报备、污泥处置对接及应急预案报备，手续齐全方可进场。</w:t>
      </w:r>
    </w:p>
    <w:p w14:paraId="25A0EAD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3.设备物资校验：配齐高压清洗车、吸污设备、封堵气囊、四合一气体检测仪、正压呼吸器、安全绳、救生三脚架、应急物资、防渗密封转运设备，所有仪器设备在校验有效期内。</w:t>
      </w:r>
    </w:p>
    <w:p w14:paraId="7CCAD2D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4.现场布控：规范设置围挡、警示标识，划定警戒区，断电挂牌、管道封堵，清理作业场地，落实防坠落、防溢出防护。</w:t>
      </w:r>
    </w:p>
    <w:p w14:paraId="40EBBC0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5.通风检测：严格执行“先通风、再检测、后作业”，强制通风不少于30分钟，多点检测氧气、有毒有害、可燃气体，指标合格方可施工；作业中定时复测，停工超30分钟必须重新通风检测。</w:t>
      </w:r>
    </w:p>
    <w:p w14:paraId="3E2E2DDC">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四、作业流程</w:t>
      </w:r>
    </w:p>
    <w:p w14:paraId="3BE263B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采用“机械为主、人工为辅”分段作业，流程如下：</w:t>
      </w:r>
    </w:p>
    <w:p w14:paraId="4114E110">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1.管道封堵、积水抽排：上下游气囊封堵严密，抽排积水至污水站调节池，严禁外排渗漏。</w:t>
      </w:r>
    </w:p>
    <w:p w14:paraId="06ED644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2.二次通风气体复测：排水后再次通风、检测，指标合格方可下井。</w:t>
      </w:r>
    </w:p>
    <w:p w14:paraId="6CDAA9AE">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3.表层杂物清理：专人监护、双绳防护，人工清理井口、井壁杂物，防止二次堵塞，严禁野蛮施工损坏设施。</w:t>
      </w:r>
    </w:p>
    <w:p w14:paraId="1C4B024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4.深层淤泥清掏疏通：高压水打散板结淤泥，真空吸污车抽吸死角淤积；狭窄区域人工清掏，轮换作业、严控下井时长，保障管网通透。</w:t>
      </w:r>
    </w:p>
    <w:p w14:paraId="3648F273">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5.冲洗查验：全线高压冲洗管网，利用内窥设备检查清掏质量，无淤积、无堵塞、无残留。</w:t>
      </w:r>
    </w:p>
    <w:p w14:paraId="773A293F">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6.解封复位、通水调试：稳妥拆除封堵，恢复阀门、电源，通水试运行，确认排水通畅、无渗漏、无积水。</w:t>
      </w:r>
    </w:p>
    <w:p w14:paraId="4A65A299">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五、闭环处置</w:t>
      </w:r>
    </w:p>
    <w:p w14:paraId="614C451B">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全部由施工单位全权负责、全程闭环、自行担责：</w:t>
      </w:r>
    </w:p>
    <w:p w14:paraId="2621540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1.淤泥、杂物全部密封防渗收集、干湿分离，严禁露天堆放、雨水冲刷。</w:t>
      </w:r>
    </w:p>
    <w:p w14:paraId="7257A1D9">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2.密闭专用车辆转运，防滴漏、防抛洒，危废严格执行一车一单、全程溯源。</w:t>
      </w:r>
    </w:p>
    <w:p w14:paraId="5F739F72">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3.分类合规处置，留存处置合同、联单、凭证、台账影像资料。</w:t>
      </w:r>
    </w:p>
    <w:p w14:paraId="75D4AB3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六、安全管控与应急</w:t>
      </w:r>
    </w:p>
    <w:p w14:paraId="542E7A94">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1.严格执行有限空间“四禁止”：无审批、无监护、检测不合格、防护不到位一律禁止作业。</w:t>
      </w:r>
    </w:p>
    <w:p w14:paraId="5B3FEBC8">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2.现场电气防爆、严禁明火，人员轮换作业，监护人员全程在岗不离岗。</w:t>
      </w:r>
    </w:p>
    <w:p w14:paraId="36FBE67C">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3.施工单位自备全套应急人员、物资、设备，针对气体超标、人员中毒窒息、污水倒灌、污泥泄漏污染等突发情况，第一时间处置、止损、善后，承担全部救援及赔付责任。</w:t>
      </w:r>
    </w:p>
    <w:p w14:paraId="70D2C4D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七、验收</w:t>
      </w:r>
      <w:r>
        <w:rPr>
          <w:rFonts w:hint="eastAsia" w:ascii="黑体" w:hAnsi="黑体" w:eastAsia="黑体" w:cs="黑体"/>
          <w:color w:val="auto"/>
          <w:sz w:val="32"/>
          <w:szCs w:val="40"/>
          <w:lang w:val="en-US" w:eastAsia="zh-CN"/>
        </w:rPr>
        <w:t>标准</w:t>
      </w:r>
      <w:r>
        <w:rPr>
          <w:rFonts w:hint="eastAsia" w:ascii="黑体" w:hAnsi="黑体" w:eastAsia="黑体" w:cs="黑体"/>
          <w:sz w:val="32"/>
          <w:szCs w:val="40"/>
        </w:rPr>
        <w:t>与资料归档</w:t>
      </w:r>
    </w:p>
    <w:p w14:paraId="7FF9FA0F">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（一）验收标准</w:t>
      </w:r>
    </w:p>
    <w:p w14:paraId="607813BD">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管网管井无淤积、无堵塞、排水通畅；通水运行稳定无渗漏、无积水；现场清理干净、无环保遗留隐患；全程安全合规无事故。</w:t>
      </w:r>
    </w:p>
    <w:p w14:paraId="7F719CD2">
      <w:pPr>
        <w:spacing w:line="576" w:lineRule="exact"/>
        <w:ind w:firstLine="640" w:firstLineChars="200"/>
        <w:rPr>
          <w:rFonts w:ascii="楷体" w:hAnsi="楷体" w:eastAsia="楷体" w:cs="楷体"/>
          <w:sz w:val="32"/>
          <w:szCs w:val="40"/>
        </w:rPr>
      </w:pPr>
      <w:r>
        <w:rPr>
          <w:rFonts w:hint="eastAsia" w:ascii="楷体" w:hAnsi="楷体" w:eastAsia="楷体" w:cs="楷体"/>
          <w:sz w:val="32"/>
          <w:szCs w:val="40"/>
        </w:rPr>
        <w:t>（二）资料移交</w:t>
      </w:r>
    </w:p>
    <w:p w14:paraId="1C82C91A">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施工单位在完工后3个工作日内，自行整理全套合规资料（资质、审批、交底、检测记录、影像、处置联单、台账、验收表等），对资料真实性、合规性全权负责，移交医院存档。</w:t>
      </w:r>
    </w:p>
    <w:p w14:paraId="47CB6828">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八、文明施工</w:t>
      </w:r>
    </w:p>
    <w:p w14:paraId="4EE7E797">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施工单位须合规围挡、降噪减味、防渗防溢，施工废水全部回流污水站零外排，完工清洗消杀、恢复场地原貌；严禁影响医院诊疗秩序，违规造成的一切损失自行承担。</w:t>
      </w:r>
    </w:p>
    <w:p w14:paraId="49B490D2">
      <w:pPr>
        <w:spacing w:line="576" w:lineRule="exact"/>
        <w:ind w:firstLine="640" w:firstLineChars="200"/>
        <w:rPr>
          <w:rFonts w:ascii="黑体" w:hAnsi="黑体" w:eastAsia="黑体" w:cs="黑体"/>
          <w:sz w:val="32"/>
          <w:szCs w:val="40"/>
        </w:rPr>
      </w:pPr>
      <w:r>
        <w:rPr>
          <w:rFonts w:hint="eastAsia" w:ascii="黑体" w:hAnsi="黑体" w:eastAsia="黑体" w:cs="黑体"/>
          <w:sz w:val="32"/>
          <w:szCs w:val="40"/>
        </w:rPr>
        <w:t>九、附则</w:t>
      </w:r>
    </w:p>
    <w:p w14:paraId="0A86B8C8">
      <w:pPr>
        <w:spacing w:line="576" w:lineRule="exact"/>
        <w:ind w:firstLine="640" w:firstLineChars="200"/>
        <w:rPr>
          <w:rFonts w:ascii="方正仿宋简体" w:hAnsi="方正仿宋简体" w:eastAsia="方正仿宋简体" w:cs="方正仿宋简体"/>
          <w:sz w:val="32"/>
          <w:szCs w:val="40"/>
        </w:rPr>
      </w:pPr>
      <w:r>
        <w:rPr>
          <w:rFonts w:hint="eastAsia" w:ascii="方正仿宋简体" w:hAnsi="方正仿宋简体" w:eastAsia="方正仿宋简体" w:cs="方正仿宋简体"/>
          <w:sz w:val="32"/>
          <w:szCs w:val="40"/>
        </w:rPr>
        <w:t>本方案为医院外包招标及施工监管专用责任规范。本项目所有施工、安全、环保、处置、应急、赔付及合规主体责任全部由中标第三方施工单位全权承担，医院不承担任何相关连带责任。所有作业严格遵照国家法规及行业标准执行，违规问题由施工单位无条件整改、自行担责。</w:t>
      </w:r>
    </w:p>
    <w:p w14:paraId="56E18D15">
      <w:pPr>
        <w:spacing w:line="576" w:lineRule="exact"/>
        <w:rPr>
          <w:rFonts w:ascii="方正仿宋简体" w:hAnsi="方正仿宋简体" w:eastAsia="方正仿宋简体" w:cs="方正仿宋简体"/>
          <w:sz w:val="32"/>
          <w:szCs w:val="40"/>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C56443-CAB5-4606-AC64-FA3FF61020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0769929-4BB5-49A7-8AC7-13CBA4024EB3}"/>
  </w:font>
  <w:font w:name="方正小标宋简体">
    <w:panose1 w:val="02000000000000000000"/>
    <w:charset w:val="86"/>
    <w:family w:val="auto"/>
    <w:pitch w:val="default"/>
    <w:sig w:usb0="00000001" w:usb1="08000000" w:usb2="00000000" w:usb3="00000000" w:csb0="00040000" w:csb1="00000000"/>
    <w:embedRegular r:id="rId3" w:fontKey="{3F69D513-B2CC-485F-A1E3-F3083C12D21A}"/>
  </w:font>
  <w:font w:name="楷体">
    <w:panose1 w:val="02010609060101010101"/>
    <w:charset w:val="86"/>
    <w:family w:val="modern"/>
    <w:pitch w:val="default"/>
    <w:sig w:usb0="800002BF" w:usb1="38CF7CFA" w:usb2="00000016" w:usb3="00000000" w:csb0="00040001" w:csb1="00000000"/>
    <w:embedRegular r:id="rId4" w:fontKey="{E0D5EFDB-9E8F-4E49-BDB4-AC62DF15899B}"/>
  </w:font>
  <w:font w:name="方正仿宋简体">
    <w:panose1 w:val="02000000000000000000"/>
    <w:charset w:val="86"/>
    <w:family w:val="auto"/>
    <w:pitch w:val="default"/>
    <w:sig w:usb0="A00002BF" w:usb1="184F6CFA" w:usb2="00000012" w:usb3="00000000" w:csb0="00040001" w:csb1="00000000"/>
    <w:embedRegular r:id="rId5" w:fontKey="{3C255EB5-8F88-4C10-92D7-4A2B27EF9669}"/>
  </w:font>
  <w:font w:name="仿宋">
    <w:panose1 w:val="02010609060101010101"/>
    <w:charset w:val="86"/>
    <w:family w:val="auto"/>
    <w:pitch w:val="default"/>
    <w:sig w:usb0="800002BF" w:usb1="38CF7CFA" w:usb2="00000016" w:usb3="00000000" w:csb0="00040001" w:csb1="00000000"/>
    <w:embedRegular r:id="rId6" w:fontKey="{E89FB192-82A6-4BF8-9AAD-E2B7655C8DF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C03E7"/>
    <w:rsid w:val="00204FC6"/>
    <w:rsid w:val="00607630"/>
    <w:rsid w:val="00A81069"/>
    <w:rsid w:val="00B47015"/>
    <w:rsid w:val="00E14F4F"/>
    <w:rsid w:val="02C26E8F"/>
    <w:rsid w:val="092964F1"/>
    <w:rsid w:val="0F707967"/>
    <w:rsid w:val="160540D8"/>
    <w:rsid w:val="37142513"/>
    <w:rsid w:val="41BC03E7"/>
    <w:rsid w:val="4479613A"/>
    <w:rsid w:val="68806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Balloon Text"/>
    <w:basedOn w:val="1"/>
    <w:link w:val="10"/>
    <w:qFormat/>
    <w:uiPriority w:val="0"/>
    <w:rPr>
      <w:sz w:val="18"/>
      <w:szCs w:val="18"/>
    </w:rPr>
  </w:style>
  <w:style w:type="paragraph" w:styleId="4">
    <w:name w:val="annotation subject"/>
    <w:basedOn w:val="2"/>
    <w:next w:val="2"/>
    <w:link w:val="9"/>
    <w:qFormat/>
    <w:uiPriority w:val="0"/>
    <w:rPr>
      <w:b/>
      <w:bCs/>
    </w:rPr>
  </w:style>
  <w:style w:type="character" w:styleId="7">
    <w:name w:val="annotation reference"/>
    <w:basedOn w:val="6"/>
    <w:qFormat/>
    <w:uiPriority w:val="0"/>
    <w:rPr>
      <w:sz w:val="21"/>
      <w:szCs w:val="21"/>
    </w:rPr>
  </w:style>
  <w:style w:type="character" w:customStyle="1" w:styleId="8">
    <w:name w:val="批注文字 Char"/>
    <w:basedOn w:val="6"/>
    <w:link w:val="2"/>
    <w:qFormat/>
    <w:uiPriority w:val="0"/>
    <w:rPr>
      <w:kern w:val="2"/>
      <w:sz w:val="21"/>
      <w:szCs w:val="24"/>
    </w:rPr>
  </w:style>
  <w:style w:type="character" w:customStyle="1" w:styleId="9">
    <w:name w:val="批注主题 Char"/>
    <w:basedOn w:val="8"/>
    <w:link w:val="4"/>
    <w:qFormat/>
    <w:uiPriority w:val="0"/>
    <w:rPr>
      <w:b/>
      <w:bCs/>
    </w:rPr>
  </w:style>
  <w:style w:type="character" w:customStyle="1" w:styleId="10">
    <w:name w:val="批注框文本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AA9BE7-E01C-40B7-8300-C0DCF64FDCBC}">
  <ds:schemaRefs/>
</ds:datastoreItem>
</file>

<file path=docProps/app.xml><?xml version="1.0" encoding="utf-8"?>
<Properties xmlns="http://schemas.openxmlformats.org/officeDocument/2006/extended-properties" xmlns:vt="http://schemas.openxmlformats.org/officeDocument/2006/docPropsVTypes">
  <Template>Normal</Template>
  <Pages>6</Pages>
  <Words>2487</Words>
  <Characters>2520</Characters>
  <Lines>16</Lines>
  <Paragraphs>4</Paragraphs>
  <TotalTime>84</TotalTime>
  <ScaleCrop>false</ScaleCrop>
  <LinksUpToDate>false</LinksUpToDate>
  <CharactersWithSpaces>2520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2026-06-15T07:32:00Z</dcterms:created>
  <dc:creator>Grose</dc:creator>
  <cp:lastModifiedBy>曾春燕</cp:lastModifiedBy>
  <dcterms:modified xsi:type="dcterms:W3CDTF">2026-07-22T01:07:12Z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49C5909B43A04FDAADF1691E832D71AC_13</vt:lpwstr>
  </property>
  <property fmtid="{D5CDD505-2E9C-101B-9397-08002B2CF9AE}" pid="4" name="KSOTemplateDocerSaveRecord">
    <vt:lpwstr>eyJoZGlkIjoiMzFhNGU5YWRmYmEyNDZhNDJiZGNiYmI5MWE0OGE4NjAiLCJ1c2VySWQiOiI4NTg5NjI0In0=</vt:lpwstr>
  </property>
</Properties>
</file>