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417A6">
      <w:pPr>
        <w:rPr>
          <w:rFonts w:ascii="华文仿宋" w:hAnsi="华文仿宋" w:eastAsia="华文仿宋" w:cs="华文仿宋"/>
          <w:sz w:val="32"/>
          <w:szCs w:val="32"/>
        </w:rPr>
      </w:pPr>
      <w:r>
        <w:rPr>
          <w:rFonts w:hint="eastAsia" w:ascii="华文仿宋" w:hAnsi="华文仿宋" w:eastAsia="华文仿宋" w:cs="华文仿宋"/>
          <w:sz w:val="32"/>
          <w:szCs w:val="32"/>
        </w:rPr>
        <w:t>附件1：</w:t>
      </w:r>
    </w:p>
    <w:p w14:paraId="02D0FCB7">
      <w:pPr>
        <w:jc w:val="center"/>
        <w:rPr>
          <w:rFonts w:ascii="华文仿宋" w:hAnsi="华文仿宋" w:eastAsia="华文仿宋" w:cs="华文仿宋"/>
          <w:b/>
          <w:bCs/>
          <w:sz w:val="44"/>
          <w:szCs w:val="44"/>
        </w:rPr>
      </w:pPr>
      <w:r>
        <w:rPr>
          <w:rFonts w:hint="eastAsia" w:ascii="华文仿宋" w:hAnsi="华文仿宋" w:eastAsia="华文仿宋" w:cs="华文仿宋"/>
          <w:b/>
          <w:bCs/>
          <w:sz w:val="44"/>
          <w:szCs w:val="44"/>
        </w:rPr>
        <w:t>采购需求方案</w:t>
      </w:r>
    </w:p>
    <w:p w14:paraId="708FCF4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为确保医院采购招标代理有力、有序、有效开展，医院结合目前采购工作实际，拟</w:t>
      </w:r>
      <w:r>
        <w:rPr>
          <w:rFonts w:hint="eastAsia" w:ascii="仿宋_GB2312" w:hAnsi="仿宋_GB2312" w:eastAsia="仿宋_GB2312" w:cs="仿宋_GB2312"/>
          <w:sz w:val="32"/>
          <w:szCs w:val="32"/>
          <w:lang w:val="en-US" w:eastAsia="zh-CN"/>
        </w:rPr>
        <w:t>现面向社会公开遴选4家招标代理机构，承担我单位需要通过第三方招标代理机构实施采购的招标代理服务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具体</w:t>
      </w:r>
      <w:r>
        <w:rPr>
          <w:rFonts w:hint="eastAsia" w:ascii="仿宋_GB2312" w:hAnsi="仿宋_GB2312" w:eastAsia="仿宋_GB2312" w:cs="仿宋_GB2312"/>
          <w:sz w:val="32"/>
          <w:szCs w:val="32"/>
        </w:rPr>
        <w:t>如下：</w:t>
      </w:r>
    </w:p>
    <w:p w14:paraId="767F4CA5">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一、遴选目的</w:t>
      </w:r>
    </w:p>
    <w:p w14:paraId="580189A2">
      <w:pPr>
        <w:ind w:firstLine="640"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通过公开遴选方式，择优选取具备专业能力、丰富经验和良好信誉的社会招标代理机构，为</w:t>
      </w:r>
      <w:r>
        <w:rPr>
          <w:rFonts w:hint="eastAsia" w:ascii="仿宋_GB2312" w:hAnsi="仿宋_GB2312" w:eastAsia="仿宋_GB2312" w:cs="仿宋_GB2312"/>
          <w:sz w:val="32"/>
          <w:szCs w:val="32"/>
          <w:lang w:val="en-US" w:eastAsia="zh-CN"/>
        </w:rPr>
        <w:t>医院</w:t>
      </w:r>
      <w:r>
        <w:rPr>
          <w:rFonts w:hint="eastAsia" w:ascii="仿宋_GB2312" w:hAnsi="仿宋_GB2312" w:eastAsia="仿宋_GB2312" w:cs="仿宋_GB2312"/>
          <w:sz w:val="32"/>
          <w:szCs w:val="32"/>
        </w:rPr>
        <w:t>提供政府采购项目（包括货物、服务、工程等类别）及非政府采购项目的招标代理服务，涵盖项目前期咨询、招标文件编制、发布招标公告、组织开标评标、</w:t>
      </w:r>
      <w:r>
        <w:rPr>
          <w:rFonts w:hint="eastAsia" w:ascii="仿宋_GB2312" w:hAnsi="仿宋_GB2312" w:eastAsia="仿宋_GB2312" w:cs="仿宋_GB2312"/>
          <w:sz w:val="32"/>
          <w:szCs w:val="32"/>
          <w:lang w:val="en-US" w:eastAsia="zh-CN"/>
        </w:rPr>
        <w:t>处理质疑和投诉、</w:t>
      </w:r>
      <w:r>
        <w:rPr>
          <w:rFonts w:hint="eastAsia" w:ascii="仿宋_GB2312" w:hAnsi="仿宋_GB2312" w:eastAsia="仿宋_GB2312" w:cs="仿宋_GB2312"/>
          <w:sz w:val="32"/>
          <w:szCs w:val="32"/>
        </w:rPr>
        <w:t>协助签订合同、配合项目验收等全流程服务，确保采购项目合法合规、高效有序推进。</w:t>
      </w:r>
    </w:p>
    <w:p w14:paraId="21EE1D34">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二、遴选方式</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服务期限</w:t>
      </w:r>
      <w:r>
        <w:rPr>
          <w:rFonts w:hint="eastAsia" w:ascii="仿宋_GB2312" w:hAnsi="仿宋_GB2312" w:eastAsia="仿宋_GB2312" w:cs="仿宋_GB2312"/>
          <w:b/>
          <w:bCs/>
          <w:sz w:val="32"/>
          <w:szCs w:val="32"/>
          <w:lang w:val="en-US" w:eastAsia="zh-CN"/>
        </w:rPr>
        <w:t>及相关费用报价</w:t>
      </w:r>
      <w:r>
        <w:rPr>
          <w:rFonts w:hint="eastAsia" w:ascii="仿宋_GB2312" w:hAnsi="仿宋_GB2312" w:eastAsia="仿宋_GB2312" w:cs="仿宋_GB2312"/>
          <w:b/>
          <w:bCs/>
          <w:sz w:val="32"/>
          <w:szCs w:val="32"/>
        </w:rPr>
        <w:t>：</w:t>
      </w:r>
    </w:p>
    <w:p w14:paraId="749028FA">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遴选方式：符合条件的招标代理机构递交相关报名材料，医院组织评审小组对符合资格条件的招标代理机构进行评审，选择前4名作为入库候选人，经公示无异议后向候选人发出入选通知书。服务期内不承诺项目委托数量及委托金额，采用随机抽取代理机构的方式分配委托项目。</w:t>
      </w:r>
    </w:p>
    <w:p w14:paraId="5DA0D20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2.服务期限：自合同签订之日起2年，合同一年一签，经双方考核合格后，根据实际情况协商续签。</w:t>
      </w:r>
    </w:p>
    <w:p w14:paraId="2683772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服务报价：拟选用的代理公司服务费率参照《招标代理服务收费管理暂行办法》（计价格〔2002〕1980号）规定费率的80%，此费用由中标（成交）单位支付，以中标(成交)金额为计费基数，按相关代理费计算标准乘以报价比例得出。</w:t>
      </w:r>
    </w:p>
    <w:p w14:paraId="25C3968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项目采购过程中发生的下列相关费用包含在采购代理服务费中：一是公告(采购信息)发布费用；二是组织实施需求论证/需求审查、编制采购文件、评标(评审)报告、组织投标人(响应供应商)踏勘察现场并答疑，组织开标活动，协调合同签订等的费用；三是采购会务、资料等费用，但采购人发生的费用由采购人自行承担；四是涉及开标、评标(评审)场地的相关费用；五是项目流标需重新组织采购的费用；六是其他约定。</w:t>
      </w:r>
    </w:p>
    <w:p w14:paraId="67103AF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5.评审过程中的专家评审费用按规定由采购人支付。</w:t>
      </w:r>
    </w:p>
    <w:p w14:paraId="254916DB">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6.除以上约定外，遴选人不在支付其他费用给代理机构。</w:t>
      </w:r>
    </w:p>
    <w:p w14:paraId="3A32574D">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遴选</w:t>
      </w:r>
      <w:r>
        <w:rPr>
          <w:rFonts w:hint="eastAsia" w:ascii="仿宋_GB2312" w:hAnsi="仿宋_GB2312" w:eastAsia="仿宋_GB2312" w:cs="仿宋_GB2312"/>
          <w:b/>
          <w:bCs/>
          <w:sz w:val="32"/>
          <w:szCs w:val="32"/>
        </w:rPr>
        <w:t>采购代理机构相关要求</w:t>
      </w:r>
    </w:p>
    <w:p w14:paraId="4B0D439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（一）备选采购代理机构的主要职责是代理医院集中采购以外的招标采购项目。必须能满足其委托任务的范围如下：</w:t>
      </w:r>
    </w:p>
    <w:p w14:paraId="26CED0BA">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1.按照《中华人民共和国政府采购法》等法律法规和规章的规定，为医院的采购项目组织实施采购；</w:t>
      </w:r>
    </w:p>
    <w:p w14:paraId="54954BD8">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2.根据医院委托情况，按照《四川省政府采购项目需求论证和履约验收管理办法》等法律法规和规章的规定，为医院的采购项目组织实施需求论证；</w:t>
      </w:r>
    </w:p>
    <w:p w14:paraId="131EFD7C">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3.处理医院委托采购项目的询问、质疑和投诉；</w:t>
      </w:r>
    </w:p>
    <w:p w14:paraId="05C261C4">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4.按照评标委员会的评标报告，公示评审结果，向中标(成交)供应商发出中标(成交)通知书。</w:t>
      </w:r>
    </w:p>
    <w:p w14:paraId="3645B81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5.完成采购项目涉及的所有备案手续。</w:t>
      </w:r>
    </w:p>
    <w:p w14:paraId="6CCA483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（二）遴选采购代理机构必须符合以下条件（提供相关佐证资料）：</w:t>
      </w:r>
    </w:p>
    <w:p w14:paraId="349348A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1.具有独立承担民事责任的能力；</w:t>
      </w:r>
    </w:p>
    <w:p w14:paraId="1146CF1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2.具有良好的商业信誉和健全的财务会计制度；</w:t>
      </w:r>
    </w:p>
    <w:p w14:paraId="47912D4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3.具有履行合同所必须的设备和专业技术能力；（开标室、监督室数量及图片，招标人员清单（以劳动合同或社保缴付为准））</w:t>
      </w:r>
    </w:p>
    <w:p w14:paraId="5481F1D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4.具有依法缴纳税收和社会保障资金的良好记录；</w:t>
      </w:r>
    </w:p>
    <w:p w14:paraId="2CA67B6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5.参加本次比选活动近三年内，在经营活动中没有违法记录；</w:t>
      </w:r>
    </w:p>
    <w:p w14:paraId="283FD4A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未被列入“信用中国”网站（www.creditchina.gov.cn）失信被执行人名单、重大税收违法失信主体和中国政府采购网（www.ccgp.gov.cn）政府采购严重违法失信行为记录名单，提供遴选公告发布之日起至报名材料递交截止之日前的查询截图。</w:t>
      </w:r>
    </w:p>
    <w:p w14:paraId="58DC2CC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7.提供政府采购代理案例相关资料，其业绩要求近三年来至少已完成5个以上且单个采购金额达100万以上的政府采购代理业务。（同时提供履约评价表）</w:t>
      </w:r>
    </w:p>
    <w:p w14:paraId="72ED1AD4">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8.具备政府采购代理资格，在中国政府采购网完成代理机构名录登记（信息处于已公布状态），且已在四川政府采购网完成入库备案，提供中国政府采购网登记截图和四川政府采购网入库截图。</w:t>
      </w:r>
    </w:p>
    <w:p w14:paraId="1219806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9.不接受联合体</w:t>
      </w:r>
    </w:p>
    <w:p w14:paraId="19C55AE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10.法律、行政法规规定的其他条件。</w:t>
      </w:r>
    </w:p>
    <w:p w14:paraId="4255B931">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w:t>
      </w:r>
      <w:r>
        <w:rPr>
          <w:rFonts w:hint="eastAsia" w:ascii="仿宋_GB2312" w:hAnsi="仿宋_GB2312" w:eastAsia="仿宋_GB2312" w:cs="仿宋_GB2312"/>
          <w:b/>
          <w:bCs/>
          <w:sz w:val="32"/>
          <w:szCs w:val="32"/>
          <w:lang w:val="en-US" w:eastAsia="zh-CN"/>
        </w:rPr>
        <w:t>遴选</w:t>
      </w:r>
      <w:r>
        <w:rPr>
          <w:rFonts w:hint="eastAsia" w:ascii="仿宋_GB2312" w:hAnsi="仿宋_GB2312" w:eastAsia="仿宋_GB2312" w:cs="仿宋_GB2312"/>
          <w:b/>
          <w:bCs/>
          <w:sz w:val="32"/>
          <w:szCs w:val="32"/>
        </w:rPr>
        <w:t>代理机构的具体运用</w:t>
      </w:r>
      <w:r>
        <w:rPr>
          <w:rFonts w:hint="eastAsia" w:ascii="仿宋_GB2312" w:hAnsi="仿宋_GB2312" w:eastAsia="仿宋_GB2312" w:cs="仿宋_GB2312"/>
          <w:sz w:val="32"/>
          <w:szCs w:val="32"/>
        </w:rPr>
        <w:t>。</w:t>
      </w:r>
    </w:p>
    <w:p w14:paraId="06C147E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（一）根据医院采购项目需求，对备选采购代理机构具体运用采取随机选取的方式进行敲定</w:t>
      </w:r>
      <w:r>
        <w:rPr>
          <w:rFonts w:hint="eastAsia" w:ascii="仿宋_GB2312" w:hAnsi="仿宋_GB2312" w:eastAsia="仿宋_GB2312" w:cs="仿宋_GB2312"/>
          <w:sz w:val="32"/>
          <w:szCs w:val="32"/>
          <w:lang w:eastAsia="zh-CN"/>
        </w:rPr>
        <w:t>，遴选人不承诺中选机构一定会代理项目</w:t>
      </w:r>
      <w:r>
        <w:rPr>
          <w:rFonts w:hint="eastAsia" w:ascii="仿宋_GB2312" w:hAnsi="仿宋_GB2312" w:eastAsia="仿宋_GB2312" w:cs="仿宋_GB2312"/>
          <w:sz w:val="32"/>
          <w:szCs w:val="32"/>
        </w:rPr>
        <w:t>。</w:t>
      </w:r>
    </w:p>
    <w:p w14:paraId="380EC44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（二）特别说明：医院采购</w:t>
      </w:r>
      <w:r>
        <w:rPr>
          <w:rFonts w:hint="eastAsia" w:ascii="仿宋_GB2312" w:hAnsi="仿宋_GB2312" w:eastAsia="仿宋_GB2312" w:cs="仿宋_GB2312"/>
          <w:sz w:val="32"/>
          <w:szCs w:val="32"/>
          <w:lang w:val="en-US" w:eastAsia="zh-CN"/>
        </w:rPr>
        <w:t>科</w:t>
      </w:r>
      <w:r>
        <w:rPr>
          <w:rFonts w:hint="eastAsia" w:ascii="仿宋_GB2312" w:hAnsi="仿宋_GB2312" w:eastAsia="仿宋_GB2312" w:cs="仿宋_GB2312"/>
          <w:sz w:val="32"/>
          <w:szCs w:val="32"/>
        </w:rPr>
        <w:t>后期对备选采购代理机构的履约能力、服务能力等各方面进行实时跟踪，若出现扰乱市场经济、不良投诉举报、服务态度不佳等行为，医院可以单方面解除合作关系。</w:t>
      </w:r>
    </w:p>
    <w:p w14:paraId="07E1715F">
      <w:pPr>
        <w:pStyle w:val="2"/>
        <w:rPr>
          <w:rFonts w:hint="eastAsia" w:eastAsia="宋体"/>
        </w:rPr>
      </w:pPr>
    </w:p>
    <w:p w14:paraId="1B8CF233">
      <w:pPr>
        <w:widowControl/>
        <w:shd w:val="clear" w:color="auto" w:fill="FFFFFF"/>
        <w:spacing w:line="480" w:lineRule="atLeast"/>
        <w:jc w:val="left"/>
        <w:rPr>
          <w:rFonts w:ascii="华文仿宋" w:hAnsi="华文仿宋" w:eastAsia="华文仿宋" w:cs="华文仿宋"/>
          <w:kern w:val="0"/>
          <w:sz w:val="28"/>
          <w:szCs w:val="28"/>
        </w:rPr>
      </w:pPr>
    </w:p>
    <w:p w14:paraId="01CF5C7E">
      <w:pPr>
        <w:widowControl/>
        <w:shd w:val="clear" w:color="auto" w:fill="FFFFFF"/>
        <w:spacing w:line="480" w:lineRule="atLeast"/>
        <w:jc w:val="left"/>
        <w:rPr>
          <w:rFonts w:ascii="华文仿宋" w:hAnsi="华文仿宋" w:eastAsia="华文仿宋" w:cs="华文仿宋"/>
          <w:kern w:val="0"/>
          <w:sz w:val="28"/>
          <w:szCs w:val="28"/>
        </w:rPr>
      </w:pPr>
    </w:p>
    <w:p w14:paraId="43FFB43C">
      <w:pPr>
        <w:widowControl/>
        <w:shd w:val="clear" w:color="auto" w:fill="FFFFFF"/>
        <w:spacing w:line="480" w:lineRule="atLeast"/>
        <w:jc w:val="left"/>
        <w:rPr>
          <w:rFonts w:ascii="华文仿宋" w:hAnsi="华文仿宋" w:eastAsia="华文仿宋" w:cs="华文仿宋"/>
          <w:kern w:val="0"/>
          <w:sz w:val="28"/>
          <w:szCs w:val="28"/>
        </w:rPr>
      </w:pPr>
    </w:p>
    <w:p w14:paraId="4BDDB2ED">
      <w:pPr>
        <w:widowControl/>
        <w:shd w:val="clear" w:color="auto" w:fill="FFFFFF"/>
        <w:spacing w:line="480" w:lineRule="atLeast"/>
        <w:jc w:val="left"/>
        <w:rPr>
          <w:rFonts w:ascii="华文仿宋" w:hAnsi="华文仿宋" w:eastAsia="华文仿宋" w:cs="华文仿宋"/>
          <w:kern w:val="0"/>
          <w:sz w:val="28"/>
          <w:szCs w:val="28"/>
        </w:rPr>
      </w:pPr>
    </w:p>
    <w:p w14:paraId="54E4266B">
      <w:pPr>
        <w:widowControl/>
        <w:shd w:val="clear" w:color="auto" w:fill="FFFFFF"/>
        <w:spacing w:line="480" w:lineRule="atLeast"/>
        <w:jc w:val="left"/>
        <w:rPr>
          <w:rFonts w:ascii="华文仿宋" w:hAnsi="华文仿宋" w:eastAsia="华文仿宋" w:cs="华文仿宋"/>
          <w:kern w:val="0"/>
          <w:sz w:val="28"/>
          <w:szCs w:val="28"/>
        </w:rPr>
      </w:pPr>
    </w:p>
    <w:p w14:paraId="4F099F83">
      <w:pPr>
        <w:widowControl/>
        <w:shd w:val="clear" w:color="auto" w:fill="FFFFFF"/>
        <w:spacing w:line="480" w:lineRule="atLeast"/>
        <w:jc w:val="left"/>
        <w:rPr>
          <w:rFonts w:ascii="华文仿宋" w:hAnsi="华文仿宋" w:eastAsia="华文仿宋" w:cs="华文仿宋"/>
          <w:kern w:val="0"/>
          <w:sz w:val="28"/>
          <w:szCs w:val="28"/>
        </w:rPr>
      </w:pPr>
    </w:p>
    <w:p w14:paraId="70FC472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EC6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宋体" w:hAnsi="宋体" w:cs="宋体"/>
      <w:sz w:val="15"/>
      <w:szCs w:val="15"/>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jingh</dc:creator>
  <cp:lastModifiedBy>陆小晓</cp:lastModifiedBy>
  <dcterms:modified xsi:type="dcterms:W3CDTF">2026-03-25T09:16:00Z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eyJoZGlkIjoiOTZiYjEyYTZmOTVhZTc3M2I5Zjc2ZDRmZTAwM2U1OTkiLCJ1c2VySWQiOiI0MzUwMzYyMTkifQ==</vt:lpwstr>
  </property>
  <property fmtid="{D5CDD505-2E9C-101B-9397-08002B2CF9AE}" pid="4" name="ICV">
    <vt:lpwstr>AE77510167A44119943C1998D3207170_12</vt:lpwstr>
  </property>
</Properties>
</file>